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723445" cy="185663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3445" cy="1856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7078133</wp:posOffset>
            </wp:positionH>
            <wp:positionV relativeFrom="paragraph">
              <wp:posOffset>1764</wp:posOffset>
            </wp:positionV>
            <wp:extent cx="1123094" cy="1781068"/>
            <wp:effectExtent b="0" l="0" r="0" t="0"/>
            <wp:wrapNone/>
            <wp:docPr descr="E:\برنامج درجات العليا - قالب -\شعار\شعارر الجامعة.jpg" id="8" name="image3.png"/>
            <a:graphic>
              <a:graphicData uri="http://schemas.openxmlformats.org/drawingml/2006/picture">
                <pic:pic>
                  <pic:nvPicPr>
                    <pic:cNvPr descr="E:\برنامج درجات العليا - قالب -\شعار\شعارر الجامعة.jp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094" cy="1781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2989580</wp:posOffset>
            </wp:positionH>
            <wp:positionV relativeFrom="paragraph">
              <wp:posOffset>-697864</wp:posOffset>
            </wp:positionV>
            <wp:extent cx="2723515" cy="2985770"/>
            <wp:effectExtent b="0" l="0" r="0" t="0"/>
            <wp:wrapNone/>
            <wp:docPr descr="C:\Users\Administrator\Desktop\حيثيات مؤتمر 10\logoooooooooooo.jpg" id="6" name="image1.png"/>
            <a:graphic>
              <a:graphicData uri="http://schemas.openxmlformats.org/drawingml/2006/picture">
                <pic:pic>
                  <pic:nvPicPr>
                    <pic:cNvPr descr="C:\Users\Administrator\Desktop\حيثيات مؤتمر 10\logoooooooooooo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985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8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3689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176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709"/>
        <w:gridCol w:w="3455"/>
        <w:gridCol w:w="2113"/>
        <w:gridCol w:w="4543"/>
        <w:gridCol w:w="2356"/>
        <w:tblGridChange w:id="0">
          <w:tblGrid>
            <w:gridCol w:w="709"/>
            <w:gridCol w:w="3455"/>
            <w:gridCol w:w="2113"/>
            <w:gridCol w:w="4543"/>
            <w:gridCol w:w="2356"/>
          </w:tblGrid>
        </w:tblGridChange>
      </w:tblGrid>
      <w:tr>
        <w:trPr>
          <w:trHeight w:val="1120" w:hRule="atLeast"/>
        </w:trPr>
        <w:tc>
          <w:tcPr>
            <w:gridSpan w:val="5"/>
            <w:shd w:fill="ffc000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right" w:pos="4436"/>
              </w:tabs>
              <w:bidi w:val="1"/>
              <w:ind w:left="2444" w:hanging="742.9999999999998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محوردراسات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وادابها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 (24) </w:t>
            </w:r>
            <w:r w:rsidDel="00000000" w:rsidR="00000000" w:rsidRPr="00000000">
              <w:rPr>
                <w:b w:val="1"/>
                <w:sz w:val="52"/>
                <w:szCs w:val="52"/>
                <w:rtl w:val="1"/>
              </w:rPr>
              <w:t xml:space="preserve">بحث</w:t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b050" w:val="clear"/>
          </w:tcPr>
          <w:p w:rsidR="00000000" w:rsidDel="00000000" w:rsidP="00000000" w:rsidRDefault="00000000" w:rsidRPr="00000000" w14:paraId="0000000F">
            <w:pPr>
              <w:bidi w:val="1"/>
              <w:ind w:left="666" w:hanging="666"/>
              <w:jc w:val="right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1"/>
              </w:rPr>
              <w:t xml:space="preserve">ت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0">
            <w:pPr>
              <w:bidi w:val="1"/>
              <w:ind w:left="886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الباحث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1">
            <w:pPr>
              <w:bidi w:val="1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العمل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2">
            <w:pPr>
              <w:bidi w:val="1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الورقة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1"/>
              </w:rPr>
              <w:t xml:space="preserve">القرار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1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الحمداني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الجيرو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قصيدة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الفلسطيني</w:t>
            </w:r>
          </w:p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1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جابر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المستنصرية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الاداب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مذكرات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الافلام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تحليلية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لفلم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مذكرات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".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2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اللطيف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عدنان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قحطان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تكريت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والروحي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2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مهدي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الكولاج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البياض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والصمت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العهد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للشاعر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دنقل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عثمان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مقيرش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ضياف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المسيلة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2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التصوف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اللاوعي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وتحقيق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3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متعب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الاعتراف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بالاخر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وجوليا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لزيد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3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3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3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3D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ربيعي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البشير</w:t>
            </w:r>
          </w:p>
          <w:p w:rsidR="00000000" w:rsidDel="00000000" w:rsidP="00000000" w:rsidRDefault="00000000" w:rsidRPr="00000000" w14:paraId="0000003E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خولة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خمري</w:t>
            </w:r>
          </w:p>
          <w:p w:rsidR="00000000" w:rsidDel="00000000" w:rsidP="00000000" w:rsidRDefault="00000000" w:rsidRPr="00000000" w14:paraId="0000003F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حفاف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امين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0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الجزائر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ومركز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الوفاق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الالماني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ماليزيا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الهوية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والسياقات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الحضارية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جدل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والغرب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نحو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لغوية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للثقافات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2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43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4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بيداء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سلمان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5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6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الابنية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المدونة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المغلقة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المبالغة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مثالا</w:t>
            </w:r>
            <w:r w:rsidDel="00000000" w:rsidR="00000000" w:rsidRPr="00000000">
              <w:rPr>
                <w:b w:val="1"/>
                <w:rtl w:val="0"/>
              </w:rPr>
              <w:t xml:space="preserve"> )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7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48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9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حسن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A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4B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المقطع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الصوتي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المرفوض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التراكيب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4C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4F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ياسين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السامرائي</w:t>
            </w:r>
          </w:p>
          <w:p w:rsidR="00000000" w:rsidDel="00000000" w:rsidP="00000000" w:rsidRDefault="00000000" w:rsidRPr="00000000" w14:paraId="00000051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أمير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رفيق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عولا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المصيفي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2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3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الفصحى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واللهجات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الاساليب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الانشائية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اليمانية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54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55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6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منديل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العكيلي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7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بغداد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الاعلام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تأصيل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ثقافة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لغوية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عربية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B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الاء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شفيق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وهاب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الآداب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المستنصرية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D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الترجيح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اياز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كتابه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المطارحة</w:t>
            </w:r>
            <w:r w:rsidDel="00000000" w:rsidR="00000000" w:rsidRPr="00000000">
              <w:rPr>
                <w:b w:val="1"/>
                <w:rtl w:val="0"/>
              </w:rPr>
              <w:t xml:space="preserve"> )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5E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5F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مبارك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2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طلحة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النحوي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618 </w:t>
            </w:r>
            <w:r w:rsidDel="00000000" w:rsidR="00000000" w:rsidRPr="00000000">
              <w:rPr>
                <w:b w:val="1"/>
                <w:rtl w:val="1"/>
              </w:rPr>
              <w:t xml:space="preserve">هجري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3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64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اسماعيل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صالح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8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نحو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الكوفيين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مصابيح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المغاني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المعاني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rtl w:val="1"/>
              </w:rPr>
              <w:t xml:space="preserve">للموزعي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825 </w:t>
            </w:r>
            <w:r w:rsidDel="00000000" w:rsidR="00000000" w:rsidRPr="00000000">
              <w:rPr>
                <w:b w:val="1"/>
                <w:rtl w:val="1"/>
              </w:rPr>
              <w:t xml:space="preserve">هجري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9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6A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6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رحمن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حميد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الاركي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6F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غانم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قدوري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المقدمة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الجزرية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70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71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7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عثمان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رحمن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حميد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6">
            <w:pPr>
              <w:spacing w:after="200"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جهود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المرادي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749 </w:t>
            </w:r>
            <w:r w:rsidDel="00000000" w:rsidR="00000000" w:rsidRPr="00000000">
              <w:rPr>
                <w:b w:val="1"/>
                <w:rtl w:val="1"/>
              </w:rPr>
              <w:t xml:space="preserve">هجري</w:t>
            </w:r>
            <w:r w:rsidDel="00000000" w:rsidR="00000000" w:rsidRPr="00000000">
              <w:rPr>
                <w:b w:val="1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الواضحة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تجويد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الفاتحة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77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7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وسام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الخزرجي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الفنون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الجميلة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التداولي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لالفاظقرانية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مخصوصة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7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لؤي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صيهود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فواز</w:t>
            </w:r>
          </w:p>
          <w:p w:rsidR="00000000" w:rsidDel="00000000" w:rsidP="00000000" w:rsidRDefault="00000000" w:rsidRPr="00000000" w14:paraId="0000008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الازدواجية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الاندلسي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والمثال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8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خضير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ناطق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الأحديب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كليىة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الموصل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التكرار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جاسم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9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الباحثة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حزية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كروش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الجزائر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المصطلحية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اللسانيات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البيولوجية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9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خزعل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خليفة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مظلوم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هدى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هدى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صالح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الكوفة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أثر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توجيه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بآيات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الاموال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والاولاد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مثالا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الرسول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سلمان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ديالى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الخلافية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اللساني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محاولة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استكشاف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مقبول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5325"/>
        </w:tabs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صادقت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اللجنة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العنوانات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تم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الاطلاع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وابداء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الملاحظات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لأغراض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النشر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والاعلان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الثاني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مصادقة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السيد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اللجنة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المحضر</w:t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/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مصادقة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السيد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التقييمات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العنوانات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ونشر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الاعلان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60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2240" w:w="15840"/>
      <w:pgMar w:bottom="1041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ملاحظات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مهمة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للمشاركين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الاعلان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تهديكم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تحاياها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العطرة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وتدعوكم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الاطلاع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رأي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الخبراء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البحوث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المستلمة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الكترونيا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للأخذ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نود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اعلامكم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بضرورة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الالتزام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الدقيق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بالشروط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المعلن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عنها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مطوية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حيث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حجم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الخط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التهميش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–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كما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نرجو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تثبيت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(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اسم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الباحث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ومكان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العمل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والبريد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الالكتروني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ورقم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الهاتف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1"/>
      </w:rPr>
      <w:t xml:space="preserve">النقال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)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اسفل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الصفحة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الاولى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بعد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العنوان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وهو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ضروري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لتحقيق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سهولة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التواصل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تقديم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الاعمال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في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power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point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جلسات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بشكل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مثمنين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مشاركتكم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ومتمنين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لكم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دوام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التوفيق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والسداد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سكرتارية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الدولي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العاشر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للاستفسار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الاتصال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1"/>
      </w:rPr>
      <w:t xml:space="preserve">بالرقم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(9647711977810+)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الله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الرحمن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الرحيم</w:t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-709" w:right="0" w:hanging="425.99999999999994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الاعلان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 (14-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1"/>
      </w:rPr>
      <w:t xml:space="preserve">آذار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)2019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البحوث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المقبولة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المقي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ّ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لدن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الخبراء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للمشاركة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بالمؤتمر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الدولي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العاشر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لكلية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التربية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للعلوم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الانسانية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0"/>
      </w:tabs>
      <w:spacing w:after="0" w:before="0" w:line="240" w:lineRule="auto"/>
      <w:ind w:left="-426" w:right="0" w:firstLine="426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العلمية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لمحور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دراسات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اللغة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العربية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وادابها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665C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 w:val="1"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 w:val="1"/>
    <w:unhideWhenUsed w:val="1"/>
    <w:rsid w:val="008204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5"/>
    <w:uiPriority w:val="99"/>
    <w:semiHidden w:val="1"/>
    <w:rsid w:val="00820476"/>
    <w:rPr>
      <w:rFonts w:ascii="Tahoma" w:cs="Tahoma" w:hAnsi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0578B5"/>
    <w:pPr>
      <w:ind w:left="720"/>
      <w:contextualSpacing w:val="1"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2019-02-04T05:59:00Z</dcterms:created>
  <dc:creator>KM</dc:creator>
</cp:coreProperties>
</file>